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34E2" w14:textId="77777777" w:rsidR="004A3B9F" w:rsidRDefault="00664198">
      <w:pPr>
        <w:spacing w:after="24"/>
        <w:ind w:left="128" w:right="0" w:hanging="10"/>
        <w:jc w:val="center"/>
      </w:pPr>
      <w:r>
        <w:rPr>
          <w:rFonts w:ascii="Times New Roman" w:eastAsia="Times New Roman" w:hAnsi="Times New Roman" w:cs="Times New Roman"/>
          <w:sz w:val="48"/>
        </w:rPr>
        <w:t xml:space="preserve">Drexel University College of Medicine </w:t>
      </w:r>
    </w:p>
    <w:p w14:paraId="5352738E" w14:textId="77777777" w:rsidR="004A3B9F" w:rsidRDefault="00664198">
      <w:pPr>
        <w:spacing w:after="24"/>
        <w:ind w:left="128" w:right="118" w:hanging="10"/>
        <w:jc w:val="center"/>
      </w:pPr>
      <w:r>
        <w:rPr>
          <w:rFonts w:ascii="Times New Roman" w:eastAsia="Times New Roman" w:hAnsi="Times New Roman" w:cs="Times New Roman"/>
          <w:sz w:val="48"/>
        </w:rPr>
        <w:t xml:space="preserve">Animal Care and Use Committee Policy For Wildlife and Field Studies </w:t>
      </w:r>
    </w:p>
    <w:p w14:paraId="1D27E3EF" w14:textId="77777777" w:rsidR="004A3B9F" w:rsidRDefault="00664198">
      <w:pPr>
        <w:spacing w:after="7" w:line="238" w:lineRule="auto"/>
        <w:ind w:left="120" w:right="20" w:firstLine="0"/>
      </w:pPr>
      <w:r>
        <w:rPr>
          <w:rFonts w:ascii="Times New Roman" w:eastAsia="Times New Roman" w:hAnsi="Times New Roman" w:cs="Times New Roman"/>
          <w:b/>
          <w:sz w:val="24"/>
        </w:rPr>
        <w:t>Objective</w:t>
      </w:r>
      <w:r>
        <w:rPr>
          <w:rFonts w:ascii="Times New Roman" w:eastAsia="Times New Roman" w:hAnsi="Times New Roman" w:cs="Times New Roman"/>
          <w:sz w:val="24"/>
        </w:rPr>
        <w:t xml:space="preserve">: The Drexel University Animal Care and Use Committee established this policy to ensure that field studies utilizing wildlife are performed according to state, Federal and International laws and regulations and to ensure for the proper care and use of animals used in these studies. </w:t>
      </w:r>
    </w:p>
    <w:p w14:paraId="1E5FF708" w14:textId="77777777" w:rsidR="004A3B9F" w:rsidRDefault="00664198">
      <w:pPr>
        <w:spacing w:after="0" w:line="259" w:lineRule="auto"/>
        <w:ind w:left="19" w:right="0" w:firstLine="0"/>
      </w:pPr>
      <w:r>
        <w:rPr>
          <w:rFonts w:ascii="Times New Roman" w:eastAsia="Times New Roman" w:hAnsi="Times New Roman" w:cs="Times New Roman"/>
          <w:sz w:val="24"/>
        </w:rPr>
        <w:t xml:space="preserve"> </w:t>
      </w:r>
    </w:p>
    <w:p w14:paraId="6294B204" w14:textId="77777777" w:rsidR="004A3B9F" w:rsidRDefault="00664198">
      <w:pPr>
        <w:pStyle w:val="Heading1"/>
        <w:spacing w:after="4" w:line="249" w:lineRule="auto"/>
        <w:ind w:left="115" w:hanging="10"/>
      </w:pPr>
      <w:r>
        <w:rPr>
          <w:rFonts w:ascii="Verdana" w:eastAsia="Verdana" w:hAnsi="Verdana" w:cs="Verdana"/>
          <w:sz w:val="18"/>
        </w:rPr>
        <w:t>Investigator Responsibilities</w:t>
      </w:r>
      <w:r>
        <w:rPr>
          <w:rFonts w:ascii="Verdana" w:eastAsia="Verdana" w:hAnsi="Verdana" w:cs="Verdana"/>
          <w:b w:val="0"/>
          <w:sz w:val="18"/>
        </w:rPr>
        <w:t xml:space="preserve"> </w:t>
      </w:r>
    </w:p>
    <w:p w14:paraId="7D7E218F" w14:textId="77777777" w:rsidR="004A3B9F" w:rsidRDefault="00664198">
      <w:pPr>
        <w:spacing w:after="0" w:line="259" w:lineRule="auto"/>
        <w:ind w:left="19" w:right="0" w:firstLine="0"/>
      </w:pPr>
      <w:r>
        <w:rPr>
          <w:b/>
          <w:sz w:val="17"/>
        </w:rPr>
        <w:t xml:space="preserve"> </w:t>
      </w:r>
    </w:p>
    <w:p w14:paraId="6ADA708B" w14:textId="4FBEE424" w:rsidR="004A3B9F" w:rsidRDefault="00664198">
      <w:pPr>
        <w:spacing w:after="4"/>
        <w:ind w:left="848" w:right="0" w:hanging="10"/>
      </w:pPr>
      <w:r>
        <w:rPr>
          <w:b/>
        </w:rPr>
        <w:t>Any work involving vertebrate animals requires a written protocol and approval by the Institutional Care and Use Committee (IACUC) prior to the start of the project.  The information listed below should be included in the IACUC protocol form.  Potential alternative methods and procedures due to unexpected conditions should be considered and listed to prevent unauthorized activities.</w:t>
      </w:r>
      <w:r>
        <w:t xml:space="preserve"> </w:t>
      </w:r>
    </w:p>
    <w:p w14:paraId="591C7F9A" w14:textId="325A1683" w:rsidR="004A3B9F" w:rsidRDefault="00664198">
      <w:pPr>
        <w:spacing w:after="0" w:line="259" w:lineRule="auto"/>
        <w:ind w:left="19" w:right="0" w:firstLine="0"/>
        <w:rPr>
          <w:b/>
          <w:sz w:val="17"/>
        </w:rPr>
      </w:pPr>
      <w:r>
        <w:rPr>
          <w:b/>
          <w:sz w:val="17"/>
        </w:rPr>
        <w:t xml:space="preserve"> </w:t>
      </w:r>
    </w:p>
    <w:p w14:paraId="451E7A8E" w14:textId="77777777" w:rsidR="005519C8" w:rsidRDefault="005519C8">
      <w:pPr>
        <w:spacing w:after="0" w:line="259" w:lineRule="auto"/>
        <w:ind w:left="19" w:right="0" w:firstLine="0"/>
      </w:pPr>
    </w:p>
    <w:p w14:paraId="35582192" w14:textId="77777777" w:rsidR="004A3B9F" w:rsidRDefault="00664198">
      <w:pPr>
        <w:spacing w:after="4"/>
        <w:ind w:right="0" w:hanging="10"/>
      </w:pPr>
      <w:r>
        <w:rPr>
          <w:b/>
        </w:rPr>
        <w:t>Deviations from the protocol must be documented immediately and reported to the IACUC within 5 days of reaching a location where communication can occur.</w:t>
      </w:r>
      <w:r>
        <w:t xml:space="preserve"> </w:t>
      </w:r>
    </w:p>
    <w:p w14:paraId="110CA3BA" w14:textId="77777777" w:rsidR="004A3B9F" w:rsidRDefault="00664198">
      <w:pPr>
        <w:spacing w:after="20" w:line="259" w:lineRule="auto"/>
        <w:ind w:left="19" w:right="0" w:firstLine="0"/>
      </w:pPr>
      <w:r>
        <w:rPr>
          <w:b/>
          <w:sz w:val="17"/>
        </w:rPr>
        <w:t xml:space="preserve"> </w:t>
      </w:r>
    </w:p>
    <w:p w14:paraId="2CF1C733" w14:textId="2E5F4CF3" w:rsidR="004A3B9F" w:rsidRDefault="00664198">
      <w:pPr>
        <w:numPr>
          <w:ilvl w:val="0"/>
          <w:numId w:val="1"/>
        </w:numPr>
        <w:ind w:right="61" w:hanging="360"/>
      </w:pPr>
      <w:r>
        <w:t>The investigator must assure the IACUC that all necessary federal and state permits have been or will be obtained before the research begins. In addition, if the research is being conducted in a foreign country, the investigator must assure the IACUC that all necessary local</w:t>
      </w:r>
      <w:r w:rsidR="004B3C0E">
        <w:t xml:space="preserve"> and international</w:t>
      </w:r>
      <w:r>
        <w:t xml:space="preserve"> permits have been or will be obtained before the research begins. </w:t>
      </w:r>
    </w:p>
    <w:p w14:paraId="5273C4F2" w14:textId="77777777" w:rsidR="004A3B9F" w:rsidRDefault="00664198">
      <w:pPr>
        <w:numPr>
          <w:ilvl w:val="0"/>
          <w:numId w:val="1"/>
        </w:numPr>
        <w:ind w:right="61" w:hanging="360"/>
      </w:pPr>
      <w:r>
        <w:rPr>
          <w:b/>
          <w:i/>
        </w:rPr>
        <w:t xml:space="preserve">Species Selection: </w:t>
      </w:r>
      <w:r>
        <w:t xml:space="preserve">the investigator should provide information on the population to be studied, rationale for choosing that population and risk to that population. The IACUC reserves the rights to consult with biologists with relevant expertise. </w:t>
      </w:r>
    </w:p>
    <w:p w14:paraId="3E575473" w14:textId="77777777" w:rsidR="004A3B9F" w:rsidRDefault="00664198">
      <w:pPr>
        <w:numPr>
          <w:ilvl w:val="0"/>
          <w:numId w:val="1"/>
        </w:numPr>
        <w:ind w:right="61" w:hanging="360"/>
      </w:pPr>
      <w:r>
        <w:rPr>
          <w:b/>
          <w:i/>
        </w:rPr>
        <w:t>Site Selection</w:t>
      </w:r>
      <w:r>
        <w:rPr>
          <w:i/>
        </w:rPr>
        <w:t xml:space="preserve">: </w:t>
      </w:r>
      <w:r>
        <w:t xml:space="preserve">The investigator should explain how the study would maximize the opportunity for data collection and minimize disruption caused by the investigator. </w:t>
      </w:r>
    </w:p>
    <w:p w14:paraId="374FA621" w14:textId="69431FE1" w:rsidR="004A3B9F" w:rsidRDefault="00664198">
      <w:pPr>
        <w:numPr>
          <w:ilvl w:val="0"/>
          <w:numId w:val="1"/>
        </w:numPr>
        <w:ind w:right="61" w:hanging="360"/>
      </w:pPr>
      <w:r>
        <w:rPr>
          <w:b/>
          <w:i/>
        </w:rPr>
        <w:t>Methodology Employed</w:t>
      </w:r>
      <w:r>
        <w:rPr>
          <w:i/>
        </w:rPr>
        <w:t xml:space="preserve">: </w:t>
      </w:r>
      <w:r>
        <w:t>The potential short- and long-term effects of procedures on individual animals should be described in all protocols. If animals are to be captured, the method used, species and the number involved should be detailed in the protocol</w:t>
      </w:r>
      <w:r w:rsidR="004B3C0E">
        <w:t>.</w:t>
      </w:r>
    </w:p>
    <w:p w14:paraId="05A51E7A" w14:textId="77777777" w:rsidR="004A3B9F" w:rsidRDefault="00664198">
      <w:pPr>
        <w:numPr>
          <w:ilvl w:val="0"/>
          <w:numId w:val="1"/>
        </w:numPr>
        <w:spacing w:after="24" w:line="240" w:lineRule="auto"/>
        <w:ind w:right="61" w:hanging="360"/>
      </w:pPr>
      <w:r>
        <w:rPr>
          <w:b/>
          <w:i/>
        </w:rPr>
        <w:t xml:space="preserve">There should be an explanation on procedures used to avoid contamination of the environment and spread of disease to animals between sites. Examples include disinfecting boots before moving to a new location, and changing gloves between handling animals. </w:t>
      </w:r>
      <w:r>
        <w:t xml:space="preserve"> </w:t>
      </w:r>
    </w:p>
    <w:p w14:paraId="2A8EE3AC" w14:textId="77777777" w:rsidR="004A3B9F" w:rsidRDefault="00664198">
      <w:pPr>
        <w:numPr>
          <w:ilvl w:val="0"/>
          <w:numId w:val="1"/>
        </w:numPr>
        <w:ind w:right="61" w:hanging="360"/>
      </w:pPr>
      <w:r>
        <w:t xml:space="preserve">There should be a description of measures taken to prevent injuries and alleviate pain and distress. </w:t>
      </w:r>
    </w:p>
    <w:p w14:paraId="46C0FD8C" w14:textId="77777777" w:rsidR="004A3B9F" w:rsidRDefault="00664198">
      <w:pPr>
        <w:numPr>
          <w:ilvl w:val="0"/>
          <w:numId w:val="1"/>
        </w:numPr>
        <w:ind w:right="61" w:hanging="360"/>
      </w:pPr>
      <w:r>
        <w:t xml:space="preserve">Protocol should describe the possible impact of capture on subsequent behavior and survival of animals. </w:t>
      </w:r>
    </w:p>
    <w:p w14:paraId="74CBC94F" w14:textId="77777777" w:rsidR="004A3B9F" w:rsidRDefault="00664198">
      <w:pPr>
        <w:numPr>
          <w:ilvl w:val="0"/>
          <w:numId w:val="1"/>
        </w:numPr>
        <w:spacing w:after="26" w:line="238" w:lineRule="auto"/>
        <w:ind w:right="61" w:hanging="360"/>
      </w:pPr>
      <w:r>
        <w:t xml:space="preserve">Protocols must provide sufficient detail on methods to be used (e.g., trapping, tagging, collaring, blood collections, euthanasia), frequency of observations, and a contingency plan for animals hurt in the collection process. </w:t>
      </w:r>
    </w:p>
    <w:p w14:paraId="48F6D9A7" w14:textId="77777777" w:rsidR="004A3B9F" w:rsidRDefault="00664198">
      <w:pPr>
        <w:numPr>
          <w:ilvl w:val="0"/>
          <w:numId w:val="1"/>
        </w:numPr>
        <w:spacing w:after="26" w:line="238" w:lineRule="auto"/>
        <w:ind w:right="61" w:hanging="360"/>
      </w:pPr>
      <w:r>
        <w:t xml:space="preserve">When animals are wild-trapped describe how long the trapped animals will be kept in a contained environment and what will be done to make sure that the animals are not in distress and properly taken care of in terms of food, water, etc. </w:t>
      </w:r>
    </w:p>
    <w:p w14:paraId="4108C28B" w14:textId="77777777" w:rsidR="004A3B9F" w:rsidRDefault="00664198">
      <w:pPr>
        <w:numPr>
          <w:ilvl w:val="0"/>
          <w:numId w:val="1"/>
        </w:numPr>
        <w:spacing w:after="26" w:line="238" w:lineRule="auto"/>
        <w:ind w:right="61" w:hanging="360"/>
      </w:pPr>
      <w:r>
        <w:t xml:space="preserve">If animals are to be monitored individually, the protocol must describe whether they will be identified by natural markings or they will be artificially marked and describe any trauma associated with the marking. </w:t>
      </w:r>
    </w:p>
    <w:p w14:paraId="081C3766" w14:textId="77777777" w:rsidR="004A3B9F" w:rsidRDefault="00664198">
      <w:pPr>
        <w:numPr>
          <w:ilvl w:val="0"/>
          <w:numId w:val="1"/>
        </w:numPr>
        <w:spacing w:after="26" w:line="238" w:lineRule="auto"/>
        <w:ind w:right="61" w:hanging="360"/>
      </w:pPr>
      <w:r>
        <w:t xml:space="preserve">The investigator must inform the IACUC whether physiological or behavioral data collected are minimally invasive and, when possible, minimally invasive procedures must be used. </w:t>
      </w:r>
    </w:p>
    <w:p w14:paraId="3D8602EC" w14:textId="4F2ADCAB" w:rsidR="004A3B9F" w:rsidRDefault="00664198">
      <w:pPr>
        <w:numPr>
          <w:ilvl w:val="0"/>
          <w:numId w:val="1"/>
        </w:numPr>
        <w:ind w:right="61" w:hanging="360"/>
      </w:pPr>
      <w:r>
        <w:lastRenderedPageBreak/>
        <w:t xml:space="preserve">When individual animals are removed to take measurements or tissue samples, the investigator should describe the procedure and potential problems associated with return of the animal to the field. For example avoiding predators, seeking shelter and surviving inclement weather. </w:t>
      </w:r>
    </w:p>
    <w:p w14:paraId="592ADA6B" w14:textId="1995D390" w:rsidR="004A3B9F" w:rsidRDefault="00664198">
      <w:pPr>
        <w:numPr>
          <w:ilvl w:val="0"/>
          <w:numId w:val="1"/>
        </w:numPr>
        <w:ind w:right="61" w:hanging="360"/>
      </w:pPr>
      <w:r>
        <w:t xml:space="preserve">The investigator should describe in the protocol whether individual animals are treated experimentally to alter their behavior or physiology </w:t>
      </w:r>
      <w:r w:rsidR="009B372D">
        <w:t xml:space="preserve">by </w:t>
      </w:r>
      <w:r>
        <w:t xml:space="preserve">surgery, drugs, or other manipulations. </w:t>
      </w:r>
    </w:p>
    <w:p w14:paraId="5C0A2E09" w14:textId="21876545" w:rsidR="004A3B9F" w:rsidRDefault="00664198">
      <w:pPr>
        <w:numPr>
          <w:ilvl w:val="0"/>
          <w:numId w:val="1"/>
        </w:numPr>
        <w:ind w:right="61" w:hanging="360"/>
      </w:pPr>
      <w:r>
        <w:t>The protocol should describe whether any invasive surgery, such as organ removal or implanting transmitters, is done</w:t>
      </w:r>
      <w:r w:rsidR="005519C8">
        <w:t xml:space="preserve">. If </w:t>
      </w:r>
      <w:r>
        <w:t xml:space="preserve">so, these procedures should be done using aseptic technique. </w:t>
      </w:r>
    </w:p>
    <w:p w14:paraId="0D94F015" w14:textId="77777777" w:rsidR="004A3B9F" w:rsidRDefault="00664198">
      <w:pPr>
        <w:numPr>
          <w:ilvl w:val="0"/>
          <w:numId w:val="1"/>
        </w:numPr>
        <w:spacing w:after="26" w:line="238" w:lineRule="auto"/>
        <w:ind w:right="61" w:hanging="360"/>
      </w:pPr>
      <w:r>
        <w:t xml:space="preserve">The investigator should describe the use and choice of anesthesia and justify in some circumstances whether field conditions limit the use of certain anesthesia since some agents are difficult to transport or use in field conditions. </w:t>
      </w:r>
    </w:p>
    <w:p w14:paraId="25CAFCD1" w14:textId="6244D863" w:rsidR="004A3B9F" w:rsidRDefault="00664198">
      <w:pPr>
        <w:numPr>
          <w:ilvl w:val="0"/>
          <w:numId w:val="1"/>
        </w:numPr>
        <w:ind w:right="61" w:hanging="360"/>
      </w:pPr>
      <w:r>
        <w:t xml:space="preserve">The investigator must describe </w:t>
      </w:r>
      <w:r w:rsidR="005519C8">
        <w:t xml:space="preserve">and justify </w:t>
      </w:r>
      <w:r>
        <w:t xml:space="preserve">procedures involving site manipulation. For example, addition of a predator in well-justified cases. If fences are erected to limit movement of individuals or populations, the impact on other species should be considered. </w:t>
      </w:r>
    </w:p>
    <w:p w14:paraId="7751B7B0" w14:textId="77777777" w:rsidR="004A3B9F" w:rsidRDefault="00664198">
      <w:pPr>
        <w:numPr>
          <w:ilvl w:val="0"/>
          <w:numId w:val="1"/>
        </w:numPr>
        <w:ind w:right="61" w:hanging="360"/>
      </w:pPr>
      <w:r>
        <w:t xml:space="preserve">Euthanasia of wildlife in the field can raise unique and challenging issues. The investigator should consult the Report of the </w:t>
      </w:r>
      <w:proofErr w:type="spellStart"/>
      <w:r>
        <w:t>AVMA</w:t>
      </w:r>
      <w:proofErr w:type="spellEnd"/>
      <w:r>
        <w:t xml:space="preserve"> Panel of Euthanasia, which includes considerations and techniques for euthanasia of wildlife. </w:t>
      </w:r>
      <w:r>
        <w:rPr>
          <w:color w:val="0000FF"/>
        </w:rPr>
        <w:t xml:space="preserve"> </w:t>
      </w:r>
      <w:hyperlink r:id="rId5" w:anchor="reports">
        <w:r>
          <w:rPr>
            <w:color w:val="0000FF"/>
            <w:u w:val="single" w:color="0000FF"/>
          </w:rPr>
          <w:t>http://</w:t>
        </w:r>
        <w:proofErr w:type="spellStart"/>
        <w:r>
          <w:rPr>
            <w:color w:val="0000FF"/>
            <w:u w:val="single" w:color="0000FF"/>
          </w:rPr>
          <w:t>www.avma.org</w:t>
        </w:r>
        <w:proofErr w:type="spellEnd"/>
        <w:r>
          <w:rPr>
            <w:color w:val="0000FF"/>
            <w:u w:val="single" w:color="0000FF"/>
          </w:rPr>
          <w:t>/reference/</w:t>
        </w:r>
        <w:proofErr w:type="spellStart"/>
        <w:r>
          <w:rPr>
            <w:color w:val="0000FF"/>
            <w:u w:val="single" w:color="0000FF"/>
          </w:rPr>
          <w:t>default.asp#reports</w:t>
        </w:r>
        <w:proofErr w:type="spellEnd"/>
      </w:hyperlink>
      <w:hyperlink r:id="rId6" w:anchor="reports">
        <w:r>
          <w:t xml:space="preserve"> </w:t>
        </w:r>
      </w:hyperlink>
    </w:p>
    <w:p w14:paraId="1500CC02" w14:textId="77777777" w:rsidR="004A3B9F" w:rsidRDefault="00664198">
      <w:pPr>
        <w:spacing w:after="0" w:line="259" w:lineRule="auto"/>
        <w:ind w:left="19" w:right="0" w:firstLine="0"/>
      </w:pPr>
      <w:r>
        <w:rPr>
          <w:sz w:val="20"/>
        </w:rPr>
        <w:t xml:space="preserve"> </w:t>
      </w:r>
    </w:p>
    <w:p w14:paraId="5A9F1FF3" w14:textId="77777777" w:rsidR="004A3B9F" w:rsidRDefault="00664198">
      <w:pPr>
        <w:spacing w:after="15" w:line="259" w:lineRule="auto"/>
        <w:ind w:left="19" w:right="0" w:firstLine="0"/>
      </w:pPr>
      <w:r>
        <w:rPr>
          <w:sz w:val="15"/>
        </w:rPr>
        <w:t xml:space="preserve"> </w:t>
      </w:r>
    </w:p>
    <w:p w14:paraId="25998219" w14:textId="77777777" w:rsidR="004A3B9F" w:rsidRDefault="00664198">
      <w:pPr>
        <w:pStyle w:val="Heading1"/>
        <w:spacing w:after="4" w:line="249" w:lineRule="auto"/>
        <w:ind w:left="115" w:hanging="10"/>
      </w:pPr>
      <w:r>
        <w:rPr>
          <w:rFonts w:ascii="Verdana" w:eastAsia="Verdana" w:hAnsi="Verdana" w:cs="Verdana"/>
          <w:sz w:val="18"/>
        </w:rPr>
        <w:t>IACUC Responsibilities</w:t>
      </w:r>
      <w:r>
        <w:rPr>
          <w:rFonts w:ascii="Verdana" w:eastAsia="Verdana" w:hAnsi="Verdana" w:cs="Verdana"/>
          <w:b w:val="0"/>
          <w:sz w:val="18"/>
        </w:rPr>
        <w:t xml:space="preserve"> </w:t>
      </w:r>
    </w:p>
    <w:p w14:paraId="0D20C43D" w14:textId="77777777" w:rsidR="004A3B9F" w:rsidRDefault="00664198">
      <w:pPr>
        <w:spacing w:after="7" w:line="259" w:lineRule="auto"/>
        <w:ind w:left="19" w:right="0" w:firstLine="0"/>
      </w:pPr>
      <w:r>
        <w:rPr>
          <w:b/>
        </w:rPr>
        <w:t xml:space="preserve"> </w:t>
      </w:r>
    </w:p>
    <w:p w14:paraId="3D1512C1" w14:textId="062E4362" w:rsidR="004A3B9F" w:rsidRDefault="00664198">
      <w:pPr>
        <w:numPr>
          <w:ilvl w:val="0"/>
          <w:numId w:val="2"/>
        </w:numPr>
        <w:ind w:right="61" w:hanging="360"/>
      </w:pPr>
      <w:r>
        <w:t>The IACUC should review the protocol in a manner similar to routine laboratory studies</w:t>
      </w:r>
      <w:r w:rsidR="009B372D">
        <w:t>, a</w:t>
      </w:r>
      <w:r>
        <w:t xml:space="preserve">ddressing species selection, site selection and methodologies employed (see Section 6 B-D above). </w:t>
      </w:r>
    </w:p>
    <w:p w14:paraId="1EB05278" w14:textId="77777777" w:rsidR="004A3B9F" w:rsidRPr="009B372D" w:rsidRDefault="00664198">
      <w:pPr>
        <w:numPr>
          <w:ilvl w:val="0"/>
          <w:numId w:val="2"/>
        </w:numPr>
        <w:spacing w:after="13" w:line="241" w:lineRule="auto"/>
        <w:ind w:right="61" w:hanging="360"/>
        <w:rPr>
          <w:szCs w:val="18"/>
        </w:rPr>
      </w:pPr>
      <w:r w:rsidRPr="00572489">
        <w:rPr>
          <w:szCs w:val="18"/>
        </w:rPr>
        <w:t xml:space="preserve">The IACUC must review zoonoses and occupational health and safety issues so that the studies do not compromise the health and safety of other animals or persons working in the field. The IACUC may request the Institutional Biosafety Committee to review the procedures to ensure occupational safety and protect the health of personnel. </w:t>
      </w:r>
    </w:p>
    <w:p w14:paraId="6D58910B" w14:textId="77777777" w:rsidR="004A3B9F" w:rsidRDefault="00664198">
      <w:pPr>
        <w:numPr>
          <w:ilvl w:val="0"/>
          <w:numId w:val="2"/>
        </w:numPr>
        <w:spacing w:after="26" w:line="246" w:lineRule="auto"/>
        <w:ind w:right="61" w:hanging="360"/>
      </w:pPr>
      <w:r>
        <w:t xml:space="preserve">When animals are wild-trapped, the IACUC must review trapping in terms of type of trap, frequency of checking and euthanasia of injured or to be collected animals. </w:t>
      </w:r>
    </w:p>
    <w:p w14:paraId="79C14FD3" w14:textId="0B77339F" w:rsidR="004A3B9F" w:rsidRDefault="00664198">
      <w:pPr>
        <w:numPr>
          <w:ilvl w:val="0"/>
          <w:numId w:val="2"/>
        </w:numPr>
        <w:ind w:right="61" w:hanging="360"/>
      </w:pPr>
      <w:r>
        <w:rPr>
          <w:b/>
          <w:i/>
        </w:rPr>
        <w:t xml:space="preserve">Facility review: </w:t>
      </w:r>
      <w:r>
        <w:t xml:space="preserve">The institution, through the IACUC, is still responsible for all animal related activities regardless of where animals are maintained or the duration of housing. The IACUC must have reasonable access to those areas for the purpose of verifying </w:t>
      </w:r>
      <w:r w:rsidR="005519C8">
        <w:t xml:space="preserve">that </w:t>
      </w:r>
      <w:r>
        <w:t xml:space="preserve">the activities involving animals are being conducted in accordance with the proposal approved by the IACUC. Federal regulation </w:t>
      </w:r>
      <w:proofErr w:type="spellStart"/>
      <w:r>
        <w:t>AWAR</w:t>
      </w:r>
      <w:proofErr w:type="spellEnd"/>
      <w:r>
        <w:t xml:space="preserve"> §2.31(c) (2) states “That animal areas containing free-living wild animals in their natural habitat need not be included in such inspection;”  Neither the Guide nor PHS policy addresses the issue of inspecting field studies.  Likewise, PHS Policy does not specifically discuss wild animals or field studies. Since the PHS policy III, A. applies to all live vertebrate animals, field sites should be considered to be animal study areas by the NIH/OLAW and, therefore, require semi-annual inspection by the IACUC. </w:t>
      </w:r>
    </w:p>
    <w:p w14:paraId="0820432C" w14:textId="77777777" w:rsidR="004A3B9F" w:rsidRDefault="00664198">
      <w:pPr>
        <w:ind w:left="838" w:right="61" w:firstLine="0"/>
      </w:pPr>
      <w:r>
        <w:t xml:space="preserve">The IACUC shall decide on a case-by-case basis whether field study should be included in the semi-annual report. Strict interpretation of PHS Policy requires animal housing areas to be inspected.  Practically it may not be feasible to send IACUC inspection team to field sites that are geographically distant. Thus, the IACUC may review PHS funded field activities through the use of photographs, videos and submission of comprehensive husbandry procedures. </w:t>
      </w:r>
    </w:p>
    <w:p w14:paraId="58BDA9A7" w14:textId="0F4CBC03" w:rsidR="004A3B9F" w:rsidRDefault="00664198">
      <w:pPr>
        <w:numPr>
          <w:ilvl w:val="0"/>
          <w:numId w:val="2"/>
        </w:numPr>
        <w:ind w:right="61" w:hanging="360"/>
      </w:pPr>
      <w:r>
        <w:rPr>
          <w:b/>
          <w:i/>
        </w:rPr>
        <w:t>Annual Report</w:t>
      </w:r>
      <w:r>
        <w:rPr>
          <w:i/>
        </w:rPr>
        <w:t>:</w:t>
      </w:r>
      <w:r w:rsidR="009B372D">
        <w:rPr>
          <w:i/>
        </w:rPr>
        <w:t xml:space="preserve"> </w:t>
      </w:r>
      <w:r>
        <w:t xml:space="preserve">The </w:t>
      </w:r>
      <w:proofErr w:type="spellStart"/>
      <w:r>
        <w:t>AWAR</w:t>
      </w:r>
      <w:proofErr w:type="spellEnd"/>
      <w:r>
        <w:t xml:space="preserve"> </w:t>
      </w:r>
      <w:r>
        <w:rPr>
          <w:rFonts w:ascii="Arial" w:eastAsia="Arial" w:hAnsi="Arial" w:cs="Arial"/>
        </w:rPr>
        <w:t>§</w:t>
      </w:r>
      <w:r>
        <w:t>2.36(b) does not exclude animal</w:t>
      </w:r>
      <w:r w:rsidR="009B372D">
        <w:t>s</w:t>
      </w:r>
      <w:r>
        <w:t xml:space="preserve"> used in field studies; however, collecting information on animal</w:t>
      </w:r>
      <w:r w:rsidR="009B372D">
        <w:t>s</w:t>
      </w:r>
      <w:r>
        <w:t xml:space="preserve"> used in field studies is difficult since there may not be direct inspections and there is no ordering information. Thus, for PHS funded studies, IACUC will request an annual summary report from the investigator on the animal number and number of species used during the reporting period. </w:t>
      </w:r>
    </w:p>
    <w:p w14:paraId="7F224E1F" w14:textId="77777777" w:rsidR="004A3B9F" w:rsidRDefault="00664198">
      <w:pPr>
        <w:spacing w:after="159" w:line="259" w:lineRule="auto"/>
        <w:ind w:left="0" w:right="0" w:firstLine="0"/>
      </w:pPr>
      <w:r>
        <w:rPr>
          <w:sz w:val="12"/>
        </w:rPr>
        <w:t xml:space="preserve"> </w:t>
      </w:r>
    </w:p>
    <w:p w14:paraId="621BEF06" w14:textId="77777777" w:rsidR="004A3B9F" w:rsidRDefault="00664198">
      <w:pPr>
        <w:pStyle w:val="Heading1"/>
        <w:jc w:val="center"/>
      </w:pPr>
      <w:r>
        <w:t>Policy Appendix: Laws and Regulations</w:t>
      </w:r>
      <w:r>
        <w:rPr>
          <w:b w:val="0"/>
        </w:rPr>
        <w:t xml:space="preserve"> </w:t>
      </w:r>
    </w:p>
    <w:p w14:paraId="64ADAB72" w14:textId="77777777" w:rsidR="004A3B9F" w:rsidRDefault="00664198">
      <w:pPr>
        <w:spacing w:after="0" w:line="259" w:lineRule="auto"/>
        <w:ind w:left="0" w:right="0" w:firstLine="0"/>
      </w:pPr>
      <w:r>
        <w:rPr>
          <w:rFonts w:ascii="Times New Roman" w:eastAsia="Times New Roman" w:hAnsi="Times New Roman" w:cs="Times New Roman"/>
          <w:b/>
          <w:sz w:val="24"/>
        </w:rPr>
        <w:t xml:space="preserve"> </w:t>
      </w:r>
    </w:p>
    <w:p w14:paraId="75970E53" w14:textId="77777777" w:rsidR="004A3B9F" w:rsidRDefault="00664198">
      <w:pPr>
        <w:pStyle w:val="Heading2"/>
        <w:tabs>
          <w:tab w:val="center" w:pos="1415"/>
        </w:tabs>
        <w:ind w:left="0" w:firstLine="0"/>
      </w:pPr>
      <w:r>
        <w:lastRenderedPageBreak/>
        <w:t>1.</w:t>
      </w:r>
      <w:r>
        <w:rPr>
          <w:rFonts w:ascii="Arial" w:eastAsia="Arial" w:hAnsi="Arial" w:cs="Arial"/>
        </w:rPr>
        <w:t xml:space="preserve"> </w:t>
      </w:r>
      <w:r>
        <w:rPr>
          <w:rFonts w:ascii="Arial" w:eastAsia="Arial" w:hAnsi="Arial" w:cs="Arial"/>
        </w:rPr>
        <w:tab/>
      </w:r>
      <w:r>
        <w:t>Regulations</w:t>
      </w:r>
      <w:r>
        <w:rPr>
          <w:b w:val="0"/>
        </w:rPr>
        <w:t xml:space="preserve"> </w:t>
      </w:r>
    </w:p>
    <w:p w14:paraId="3F0D8528" w14:textId="094ABF4B" w:rsidR="004A3B9F" w:rsidRDefault="00664198">
      <w:pPr>
        <w:spacing w:after="44"/>
        <w:ind w:left="100" w:right="61" w:hanging="2"/>
      </w:pPr>
      <w:r>
        <w:t>The Animal Welfare Act Regulations (</w:t>
      </w:r>
      <w:proofErr w:type="spellStart"/>
      <w:r>
        <w:t>AWAR</w:t>
      </w:r>
      <w:proofErr w:type="spellEnd"/>
      <w:r>
        <w:t xml:space="preserve">) definition of animal (§1.1) includes most warm- blooded </w:t>
      </w:r>
      <w:r w:rsidR="007A0E80">
        <w:t>animals</w:t>
      </w:r>
      <w:r w:rsidR="00E618FD">
        <w:t>, but not birds</w:t>
      </w:r>
      <w:r w:rsidR="007A0E80">
        <w:t>.</w:t>
      </w:r>
      <w:r>
        <w:t xml:space="preserve"> However, because of other regulations the IACUC is required to review all protocols involving vertebrate animals ranging from fish to mammals. The regulations specifically exempt the IACUC from the requirement to review field studies if the following conditions apply: </w:t>
      </w:r>
    </w:p>
    <w:p w14:paraId="04BA24E1" w14:textId="77777777" w:rsidR="004A3B9F" w:rsidRDefault="00664198">
      <w:pPr>
        <w:numPr>
          <w:ilvl w:val="0"/>
          <w:numId w:val="3"/>
        </w:numPr>
        <w:ind w:right="61" w:hanging="360"/>
      </w:pPr>
      <w:r>
        <w:t xml:space="preserve">Experiments do not involve an invasive procedure </w:t>
      </w:r>
    </w:p>
    <w:p w14:paraId="74257AF1" w14:textId="77777777" w:rsidR="004A3B9F" w:rsidRDefault="00664198">
      <w:pPr>
        <w:numPr>
          <w:ilvl w:val="0"/>
          <w:numId w:val="3"/>
        </w:numPr>
        <w:ind w:right="61" w:hanging="360"/>
      </w:pPr>
      <w:r>
        <w:t xml:space="preserve">No harm done to the animal </w:t>
      </w:r>
    </w:p>
    <w:p w14:paraId="5CEA5A06" w14:textId="1B41864A" w:rsidR="004A3B9F" w:rsidRDefault="00664198">
      <w:pPr>
        <w:numPr>
          <w:ilvl w:val="0"/>
          <w:numId w:val="3"/>
        </w:numPr>
        <w:ind w:right="61" w:hanging="360"/>
      </w:pPr>
      <w:r>
        <w:t>Experiments do not involve material alteration of the behavior of an animal under study (§2.31(d)(1).</w:t>
      </w:r>
    </w:p>
    <w:p w14:paraId="258C765E" w14:textId="77777777" w:rsidR="004A3B9F" w:rsidRDefault="00664198">
      <w:pPr>
        <w:spacing w:after="2" w:line="259" w:lineRule="auto"/>
        <w:ind w:left="0" w:right="0" w:firstLine="0"/>
      </w:pPr>
      <w:r>
        <w:rPr>
          <w:sz w:val="16"/>
        </w:rPr>
        <w:t xml:space="preserve"> </w:t>
      </w:r>
    </w:p>
    <w:p w14:paraId="18A5B3FD" w14:textId="77777777" w:rsidR="004A3B9F" w:rsidRDefault="00664198">
      <w:pPr>
        <w:ind w:left="100" w:right="61" w:hanging="2"/>
      </w:pPr>
      <w:proofErr w:type="spellStart"/>
      <w:r>
        <w:t>AWAR</w:t>
      </w:r>
      <w:proofErr w:type="spellEnd"/>
      <w:r>
        <w:t xml:space="preserve"> §2.38 (f)1 then applies: “Handling of all animals shall be done as expeditiously and carefully as possible in a manner that does not cause trauma, overheating, excessive cooling, behavioral stress, physical harm, or unnecessary discomfort.” </w:t>
      </w:r>
    </w:p>
    <w:p w14:paraId="27F6C176" w14:textId="77777777" w:rsidR="004A3B9F" w:rsidRDefault="00664198">
      <w:pPr>
        <w:spacing w:after="0" w:line="259" w:lineRule="auto"/>
        <w:ind w:left="0" w:right="0" w:firstLine="0"/>
      </w:pPr>
      <w:r>
        <w:rPr>
          <w:sz w:val="17"/>
        </w:rPr>
        <w:t xml:space="preserve"> </w:t>
      </w:r>
    </w:p>
    <w:p w14:paraId="40688975" w14:textId="77777777" w:rsidR="004A3B9F" w:rsidRDefault="00664198">
      <w:pPr>
        <w:ind w:left="101" w:right="61" w:firstLine="0"/>
      </w:pPr>
      <w:r>
        <w:t xml:space="preserve">Public Health Service (PHS) Policy II requires compliance with the AWA. The PHS policy </w:t>
      </w:r>
      <w:proofErr w:type="spellStart"/>
      <w:r>
        <w:t>III.A</w:t>
      </w:r>
      <w:proofErr w:type="spellEnd"/>
      <w:r>
        <w:t xml:space="preserve"> defines an animal as any live, vertebrate animal used or intended for use in research training, experimentation, or biological testing or for related purposes. Therefore, all vertebrate animals used in field studies are subject to the PHS Policy </w:t>
      </w:r>
      <w:proofErr w:type="spellStart"/>
      <w:r>
        <w:t>III.A</w:t>
      </w:r>
      <w:proofErr w:type="spellEnd"/>
      <w:r>
        <w:t xml:space="preserve">. </w:t>
      </w:r>
    </w:p>
    <w:p w14:paraId="056E332F" w14:textId="77777777" w:rsidR="004A3B9F" w:rsidRDefault="00664198">
      <w:pPr>
        <w:spacing w:after="0" w:line="259" w:lineRule="auto"/>
        <w:ind w:left="0" w:right="0" w:firstLine="0"/>
      </w:pPr>
      <w:r>
        <w:rPr>
          <w:sz w:val="17"/>
        </w:rPr>
        <w:t xml:space="preserve"> </w:t>
      </w:r>
    </w:p>
    <w:p w14:paraId="6FAE5834" w14:textId="77777777" w:rsidR="004A3B9F" w:rsidRDefault="00664198">
      <w:pPr>
        <w:ind w:left="101" w:right="61" w:firstLine="0"/>
      </w:pPr>
      <w:r>
        <w:t xml:space="preserve">The Guide (page 5) states that “Biomedical and behavioral investigations occasionally involve observation or use of vertebrate animals under field conditions. Although some of the recommendations listed in this volume are not applicable to field conditions, the basic principles of humane care and use apply to the use of animals living in natural conditions.” Thus, it is important for the IACUC to review wildlife studies conducted in the field on AWA regulated species which involves obtrusive procedures or observations. The Drexel University IACUC reviews protocols utilizing any live vertebrate animal. </w:t>
      </w:r>
    </w:p>
    <w:p w14:paraId="0E7AC3B2" w14:textId="77777777" w:rsidR="004A3B9F" w:rsidRDefault="00664198">
      <w:pPr>
        <w:spacing w:after="0" w:line="259" w:lineRule="auto"/>
        <w:ind w:left="0" w:right="0" w:firstLine="0"/>
      </w:pPr>
      <w:r>
        <w:rPr>
          <w:sz w:val="17"/>
        </w:rPr>
        <w:t xml:space="preserve"> </w:t>
      </w:r>
    </w:p>
    <w:p w14:paraId="16B2406F" w14:textId="77777777" w:rsidR="004A3B9F" w:rsidRDefault="00664198">
      <w:pPr>
        <w:spacing w:after="1" w:line="238" w:lineRule="auto"/>
        <w:ind w:left="101" w:right="346" w:firstLine="0"/>
        <w:jc w:val="both"/>
      </w:pPr>
      <w:r>
        <w:t xml:space="preserve">The guide also states that “Investigators conducting field studies with animals should assure the IACUC that collection of specimens or invasive procedures will comply with state and federal regulations.” </w:t>
      </w:r>
    </w:p>
    <w:p w14:paraId="4F5EA1B7" w14:textId="77777777" w:rsidR="004A3B9F" w:rsidRDefault="00664198">
      <w:pPr>
        <w:spacing w:after="10" w:line="259" w:lineRule="auto"/>
        <w:ind w:left="0" w:right="0" w:firstLine="0"/>
      </w:pPr>
      <w:r>
        <w:rPr>
          <w:sz w:val="17"/>
        </w:rPr>
        <w:t xml:space="preserve"> </w:t>
      </w:r>
    </w:p>
    <w:p w14:paraId="7C6EB694" w14:textId="77777777" w:rsidR="004A3B9F" w:rsidRDefault="00664198">
      <w:pPr>
        <w:pStyle w:val="Heading2"/>
        <w:ind w:left="115"/>
      </w:pPr>
      <w:r>
        <w:t>2.</w:t>
      </w:r>
      <w:r>
        <w:rPr>
          <w:rFonts w:ascii="Arial" w:eastAsia="Arial" w:hAnsi="Arial" w:cs="Arial"/>
        </w:rPr>
        <w:t xml:space="preserve"> </w:t>
      </w:r>
      <w:r>
        <w:t>Required Federal and State Permits for Field Studies</w:t>
      </w:r>
      <w:r>
        <w:rPr>
          <w:b w:val="0"/>
        </w:rPr>
        <w:t xml:space="preserve"> </w:t>
      </w:r>
    </w:p>
    <w:p w14:paraId="3E5F4872" w14:textId="37DBABEB" w:rsidR="004A3B9F" w:rsidRDefault="00664198">
      <w:pPr>
        <w:ind w:left="101" w:right="146" w:firstLine="0"/>
      </w:pPr>
      <w:r>
        <w:t xml:space="preserve">Please be advised that a single research protocol may be subject to multiple laws and therefore, multiple permits may be required. In general both state and federal permits are needed in addition to site-specific permits for research conducted on federal- or state-owned property. The importation and exportation of samples (whether they are whole specimens, blood samples, feathers, tissues, etc.) requires the researcher to file a USFWS 3-177 (declaration of importation and exportation).  Ideally, when material is hand carried in luggage, ports of entry prefer to be contacted and an inspection should be scheduled.  In filing the 3-177 ideally the export permits and/or invoices from the country of origin should be submitted with the 3-177. </w:t>
      </w:r>
    </w:p>
    <w:p w14:paraId="686B20D7" w14:textId="77777777" w:rsidR="004A3B9F" w:rsidRDefault="00664198">
      <w:pPr>
        <w:spacing w:after="0" w:line="259" w:lineRule="auto"/>
        <w:ind w:left="101" w:right="0" w:firstLine="0"/>
      </w:pPr>
      <w:r>
        <w:t xml:space="preserve"> </w:t>
      </w:r>
    </w:p>
    <w:p w14:paraId="70D7D9BB" w14:textId="77777777" w:rsidR="004A3B9F" w:rsidRDefault="00664198">
      <w:pPr>
        <w:ind w:left="101" w:right="61" w:firstLine="0"/>
      </w:pPr>
      <w:r>
        <w:t xml:space="preserve">Below is the list of permitting agencies which may be contacted for obtaining permits. For detailed information about these agencies, please contact the Office of Research Compliance at 215 762 3453. </w:t>
      </w:r>
    </w:p>
    <w:p w14:paraId="23C8BDEA" w14:textId="77777777" w:rsidR="004A3B9F" w:rsidRDefault="00664198">
      <w:pPr>
        <w:spacing w:after="17" w:line="259" w:lineRule="auto"/>
        <w:ind w:left="0" w:right="0" w:firstLine="0"/>
      </w:pPr>
      <w:r>
        <w:rPr>
          <w:sz w:val="17"/>
        </w:rPr>
        <w:t xml:space="preserve"> </w:t>
      </w:r>
    </w:p>
    <w:p w14:paraId="672A91E6" w14:textId="77777777" w:rsidR="004A3B9F" w:rsidRDefault="00664198">
      <w:pPr>
        <w:numPr>
          <w:ilvl w:val="0"/>
          <w:numId w:val="4"/>
        </w:numPr>
        <w:ind w:right="61" w:hanging="360"/>
      </w:pPr>
      <w:r>
        <w:rPr>
          <w:b/>
          <w:i/>
        </w:rPr>
        <w:t xml:space="preserve">Fish and Wildlife Services: </w:t>
      </w:r>
      <w:r>
        <w:t xml:space="preserve">Permits are by the U.S. Fish and Wildlife Service (USFWS) under federal regulations 50 CFR 1-100 specifically 50 CFR 13. </w:t>
      </w:r>
    </w:p>
    <w:p w14:paraId="672C00DD" w14:textId="015F1B62" w:rsidR="004A3B9F" w:rsidRDefault="00664198">
      <w:pPr>
        <w:numPr>
          <w:ilvl w:val="0"/>
          <w:numId w:val="4"/>
        </w:numPr>
        <w:ind w:right="61" w:hanging="360"/>
      </w:pPr>
      <w:r>
        <w:rPr>
          <w:b/>
          <w:i/>
        </w:rPr>
        <w:t xml:space="preserve">CITES (Conservation on International Trade in Endangered Species): </w:t>
      </w:r>
      <w:r>
        <w:t xml:space="preserve">This is an international treaty codified in the U.S. law as part of the Endangered Species Act. It regulates import and export of wildlife and plants listed </w:t>
      </w:r>
      <w:r w:rsidR="00CE05DF">
        <w:t xml:space="preserve">in </w:t>
      </w:r>
      <w:r>
        <w:t xml:space="preserve">its three appendices. For more information, go to </w:t>
      </w:r>
      <w:hyperlink r:id="rId7">
        <w:r>
          <w:rPr>
            <w:color w:val="0000FF"/>
            <w:u w:val="single" w:color="0000FF"/>
          </w:rPr>
          <w:t>http://</w:t>
        </w:r>
        <w:proofErr w:type="spellStart"/>
        <w:r>
          <w:rPr>
            <w:color w:val="0000FF"/>
            <w:u w:val="single" w:color="0000FF"/>
          </w:rPr>
          <w:t>www.cites.org</w:t>
        </w:r>
        <w:proofErr w:type="spellEnd"/>
        <w:r>
          <w:rPr>
            <w:color w:val="0000FF"/>
            <w:u w:val="single" w:color="0000FF"/>
          </w:rPr>
          <w:t>/</w:t>
        </w:r>
      </w:hyperlink>
      <w:hyperlink r:id="rId8">
        <w:r>
          <w:t>.</w:t>
        </w:r>
      </w:hyperlink>
      <w:r>
        <w:t xml:space="preserve"> </w:t>
      </w:r>
    </w:p>
    <w:p w14:paraId="1E2A1619" w14:textId="77777777" w:rsidR="004A3B9F" w:rsidRDefault="00664198">
      <w:pPr>
        <w:numPr>
          <w:ilvl w:val="1"/>
          <w:numId w:val="4"/>
        </w:numPr>
        <w:ind w:right="61" w:hanging="360"/>
      </w:pPr>
      <w:r>
        <w:t xml:space="preserve">Importation of CITES I and II listed species require either CITES export permits (and validation on exit) from the country of origin or can be valid if scientific exchange is between two institutions that have a </w:t>
      </w:r>
      <w:proofErr w:type="spellStart"/>
      <w:r>
        <w:t>COSE</w:t>
      </w:r>
      <w:proofErr w:type="spellEnd"/>
      <w:r>
        <w:t xml:space="preserve"> permit that allows scientific exchange. </w:t>
      </w:r>
    </w:p>
    <w:p w14:paraId="4F9E8191" w14:textId="77777777" w:rsidR="004A3B9F" w:rsidRDefault="00664198">
      <w:pPr>
        <w:numPr>
          <w:ilvl w:val="1"/>
          <w:numId w:val="4"/>
        </w:numPr>
        <w:ind w:right="61" w:hanging="360"/>
      </w:pPr>
      <w:r>
        <w:t xml:space="preserve">CITES I species require CITES export permits and validation from the country of origin and a CITES import permit from the USFWS. </w:t>
      </w:r>
    </w:p>
    <w:p w14:paraId="0EDD7244" w14:textId="77777777" w:rsidR="004A3B9F" w:rsidRDefault="00664198">
      <w:pPr>
        <w:numPr>
          <w:ilvl w:val="0"/>
          <w:numId w:val="4"/>
        </w:numPr>
        <w:ind w:right="61" w:hanging="360"/>
      </w:pPr>
      <w:r>
        <w:rPr>
          <w:b/>
          <w:i/>
        </w:rPr>
        <w:lastRenderedPageBreak/>
        <w:t xml:space="preserve">Endangered Species Act: </w:t>
      </w:r>
      <w:r>
        <w:t xml:space="preserve">It prohibits the taking of any species listed as endangered or threatened. The endangered species list is found in 50 CFR 17.11. . Please note </w:t>
      </w:r>
    </w:p>
    <w:p w14:paraId="60756554" w14:textId="77777777" w:rsidR="004A3B9F" w:rsidRDefault="00664198">
      <w:pPr>
        <w:ind w:left="821" w:right="61" w:firstLine="0"/>
      </w:pPr>
      <w:r>
        <w:t xml:space="preserve">that exceptions are made for scientific research and for activities that will enhance the survival of the species. Permits are required for such activities and are issued by USFWS. For more information, go </w:t>
      </w:r>
      <w:hyperlink r:id="rId9">
        <w:r>
          <w:t>t</w:t>
        </w:r>
      </w:hyperlink>
      <w:hyperlink r:id="rId10">
        <w:r>
          <w:t xml:space="preserve">o </w:t>
        </w:r>
      </w:hyperlink>
      <w:hyperlink r:id="rId11">
        <w:r>
          <w:t>http://</w:t>
        </w:r>
        <w:proofErr w:type="spellStart"/>
        <w:r>
          <w:t>www.fws.gov</w:t>
        </w:r>
        <w:proofErr w:type="spellEnd"/>
        <w:r>
          <w:t>/laws/</w:t>
        </w:r>
        <w:proofErr w:type="spellStart"/>
        <w:r>
          <w:t>lawsdigest</w:t>
        </w:r>
        <w:proofErr w:type="spellEnd"/>
        <w:r>
          <w:t>/</w:t>
        </w:r>
        <w:proofErr w:type="spellStart"/>
        <w:r>
          <w:t>esact.html</w:t>
        </w:r>
        <w:proofErr w:type="spellEnd"/>
      </w:hyperlink>
      <w:hyperlink r:id="rId12">
        <w:r>
          <w:t xml:space="preserve"> </w:t>
        </w:r>
      </w:hyperlink>
    </w:p>
    <w:p w14:paraId="62AE77A0" w14:textId="77777777" w:rsidR="00CE05DF" w:rsidRDefault="00CE05DF">
      <w:pPr>
        <w:ind w:left="840" w:right="61" w:firstLine="0"/>
        <w:rPr>
          <w:b/>
          <w:i/>
        </w:rPr>
      </w:pPr>
    </w:p>
    <w:p w14:paraId="12BD446D" w14:textId="1B2E84EF" w:rsidR="004A3B9F" w:rsidRDefault="00664198" w:rsidP="00572489">
      <w:pPr>
        <w:pStyle w:val="ListParagraph"/>
        <w:numPr>
          <w:ilvl w:val="0"/>
          <w:numId w:val="6"/>
        </w:numPr>
        <w:ind w:left="810" w:right="61" w:hanging="360"/>
      </w:pPr>
      <w:r w:rsidRPr="00CE05DF">
        <w:rPr>
          <w:b/>
          <w:i/>
        </w:rPr>
        <w:t xml:space="preserve">Lacey Act: </w:t>
      </w:r>
      <w:r>
        <w:t xml:space="preserve">This act and amendment to it promulgated in 1981 is not specific for research, but pertains to research involving the import and export of wildlife (50 CFR 14).  </w:t>
      </w:r>
    </w:p>
    <w:p w14:paraId="01F6B536" w14:textId="77777777" w:rsidR="004A3B9F" w:rsidRDefault="00664198">
      <w:pPr>
        <w:numPr>
          <w:ilvl w:val="0"/>
          <w:numId w:val="4"/>
        </w:numPr>
        <w:ind w:right="61" w:hanging="360"/>
      </w:pPr>
      <w:r>
        <w:rPr>
          <w:b/>
          <w:i/>
        </w:rPr>
        <w:t xml:space="preserve">Marine Mammal Protection ACT (MMPA).  </w:t>
      </w:r>
      <w:r>
        <w:t>The 1988 amendments include the listing of conditions under which permits may be issued to take marine mammals for the protection and welfare of the animals, including importation, public display, scientific research and enhancing the survival or recovery of a species. Scientific permits are provided for by 50 CFR 18. For further information go to</w:t>
      </w:r>
      <w:hyperlink r:id="rId13">
        <w:r>
          <w:t xml:space="preserve"> </w:t>
        </w:r>
      </w:hyperlink>
    </w:p>
    <w:p w14:paraId="70928127" w14:textId="77777777" w:rsidR="004A3B9F" w:rsidRDefault="0021165A">
      <w:pPr>
        <w:ind w:left="840" w:right="61" w:firstLine="0"/>
      </w:pPr>
      <w:hyperlink r:id="rId14">
        <w:r w:rsidR="00664198">
          <w:t>http://</w:t>
        </w:r>
        <w:proofErr w:type="spellStart"/>
        <w:r w:rsidR="00664198">
          <w:t>www.nmfs.noaa.gov</w:t>
        </w:r>
        <w:proofErr w:type="spellEnd"/>
        <w:r w:rsidR="00664198">
          <w:t>/pr/laws/</w:t>
        </w:r>
        <w:proofErr w:type="spellStart"/>
        <w:r w:rsidR="00664198">
          <w:t>mmpa</w:t>
        </w:r>
        <w:proofErr w:type="spellEnd"/>
      </w:hyperlink>
      <w:hyperlink r:id="rId15">
        <w:r w:rsidR="00664198">
          <w:t xml:space="preserve"> </w:t>
        </w:r>
      </w:hyperlink>
    </w:p>
    <w:p w14:paraId="3F719946" w14:textId="77777777" w:rsidR="004A3B9F" w:rsidRDefault="00664198">
      <w:pPr>
        <w:numPr>
          <w:ilvl w:val="0"/>
          <w:numId w:val="4"/>
        </w:numPr>
        <w:ind w:right="61" w:hanging="360"/>
      </w:pPr>
      <w:r>
        <w:rPr>
          <w:b/>
          <w:i/>
        </w:rPr>
        <w:t xml:space="preserve">Migratory Bird Treaty Act (MBTA):  </w:t>
      </w:r>
      <w:r>
        <w:t xml:space="preserve">The specific provisions of the statute (MBTA) are described under 16 U.S.C. 703. The title MBTA is a misnomer because the Act does not apply only to birds that migrate long distances or across international borders, but to nearly 830 species of birds. Permits for MBTA are found at 50 CFR 21. Branding and marking activities require a permit under 50 CFR 21.22. These permits are issued by the U.S. Geological Survey-Biological Resources Division’s Bird banding </w:t>
      </w:r>
    </w:p>
    <w:p w14:paraId="0411F6C3" w14:textId="77777777" w:rsidR="004A3B9F" w:rsidRDefault="00664198">
      <w:pPr>
        <w:ind w:left="840" w:right="61" w:firstLine="0"/>
      </w:pPr>
      <w:r>
        <w:t>Laboratory. Other permits for scientific collecting (50 CFR 21.23) are obtained from USFWS. For further information go to</w:t>
      </w:r>
      <w:hyperlink r:id="rId16">
        <w:r>
          <w:t xml:space="preserve"> </w:t>
        </w:r>
      </w:hyperlink>
    </w:p>
    <w:p w14:paraId="403452A2" w14:textId="77777777" w:rsidR="004A3B9F" w:rsidRDefault="0021165A">
      <w:pPr>
        <w:ind w:left="840" w:right="61" w:firstLine="0"/>
      </w:pPr>
      <w:hyperlink r:id="rId17">
        <w:r w:rsidR="00664198">
          <w:t>http://www.fws.gov/migratorybirds/RegulationsPolicies/mbta/mbtintro.html</w:t>
        </w:r>
      </w:hyperlink>
      <w:hyperlink r:id="rId18">
        <w:r w:rsidR="00664198">
          <w:t xml:space="preserve"> </w:t>
        </w:r>
      </w:hyperlink>
    </w:p>
    <w:p w14:paraId="3252E8BE" w14:textId="77777777" w:rsidR="004A3B9F" w:rsidRDefault="00664198">
      <w:pPr>
        <w:spacing w:after="7" w:line="259" w:lineRule="auto"/>
        <w:ind w:left="0" w:right="0" w:firstLine="0"/>
      </w:pPr>
      <w:r>
        <w:t xml:space="preserve"> </w:t>
      </w:r>
    </w:p>
    <w:p w14:paraId="31B79D56" w14:textId="77777777" w:rsidR="004A3B9F" w:rsidRDefault="00664198">
      <w:pPr>
        <w:numPr>
          <w:ilvl w:val="0"/>
          <w:numId w:val="4"/>
        </w:numPr>
        <w:ind w:right="61" w:hanging="360"/>
      </w:pPr>
      <w:r>
        <w:rPr>
          <w:b/>
          <w:i/>
        </w:rPr>
        <w:t xml:space="preserve">Wild Bird Conservation Act (WBCA): </w:t>
      </w:r>
      <w:r>
        <w:t>It prohibits the import of any bird into the United States other than those specifically in the regulations as permissible. For any other species, a permit is required. Permits may be issued for scientific research. This law supplements CITES. The regulation for scientific permits is found at 50 CFR 15.22. For more information go to</w:t>
      </w:r>
      <w:hyperlink r:id="rId19">
        <w:r>
          <w:t xml:space="preserve"> </w:t>
        </w:r>
      </w:hyperlink>
      <w:hyperlink r:id="rId20">
        <w:r>
          <w:rPr>
            <w:color w:val="0000FF"/>
            <w:u w:val="single" w:color="0000FF"/>
          </w:rPr>
          <w:t>http://</w:t>
        </w:r>
        <w:proofErr w:type="spellStart"/>
        <w:r>
          <w:rPr>
            <w:color w:val="0000FF"/>
            <w:u w:val="single" w:color="0000FF"/>
          </w:rPr>
          <w:t>www.internationalparrotletsociety.org</w:t>
        </w:r>
        <w:proofErr w:type="spellEnd"/>
        <w:r>
          <w:rPr>
            <w:color w:val="0000FF"/>
            <w:u w:val="single" w:color="0000FF"/>
          </w:rPr>
          <w:t>/</w:t>
        </w:r>
        <w:proofErr w:type="spellStart"/>
        <w:r>
          <w:rPr>
            <w:color w:val="0000FF"/>
            <w:u w:val="single" w:color="0000FF"/>
          </w:rPr>
          <w:t>wbca.html</w:t>
        </w:r>
        <w:proofErr w:type="spellEnd"/>
      </w:hyperlink>
      <w:hyperlink r:id="rId21">
        <w:r>
          <w:t>.</w:t>
        </w:r>
      </w:hyperlink>
      <w:r>
        <w:t xml:space="preserve"> </w:t>
      </w:r>
    </w:p>
    <w:p w14:paraId="6C1BBDB0" w14:textId="77777777" w:rsidR="004A3B9F" w:rsidRDefault="00664198">
      <w:pPr>
        <w:spacing w:after="136" w:line="259" w:lineRule="auto"/>
        <w:ind w:left="0" w:right="0" w:firstLine="0"/>
      </w:pPr>
      <w:r>
        <w:rPr>
          <w:sz w:val="12"/>
        </w:rPr>
        <w:t xml:space="preserve"> </w:t>
      </w:r>
    </w:p>
    <w:p w14:paraId="7F48F3C8" w14:textId="77777777" w:rsidR="004A3B9F" w:rsidRDefault="00664198">
      <w:pPr>
        <w:pStyle w:val="Heading2"/>
        <w:ind w:left="115"/>
      </w:pPr>
      <w:r>
        <w:t>3.</w:t>
      </w:r>
      <w:r>
        <w:rPr>
          <w:rFonts w:ascii="Arial" w:eastAsia="Arial" w:hAnsi="Arial" w:cs="Arial"/>
        </w:rPr>
        <w:t xml:space="preserve"> </w:t>
      </w:r>
      <w:r>
        <w:t>Required Site-specific Permits</w:t>
      </w:r>
      <w:r>
        <w:rPr>
          <w:b w:val="0"/>
        </w:rPr>
        <w:t xml:space="preserve"> </w:t>
      </w:r>
    </w:p>
    <w:p w14:paraId="2CBD40C2" w14:textId="6A564FBF" w:rsidR="004A3B9F" w:rsidRPr="003E07F4" w:rsidRDefault="00664198">
      <w:pPr>
        <w:ind w:left="465" w:right="61" w:firstLine="0"/>
        <w:rPr>
          <w:b/>
          <w:color w:val="0000FF"/>
        </w:rPr>
      </w:pPr>
      <w:r>
        <w:t xml:space="preserve">These are additional permits to </w:t>
      </w:r>
      <w:r w:rsidR="003E07F4">
        <w:t>those</w:t>
      </w:r>
      <w:r>
        <w:t xml:space="preserve"> describe</w:t>
      </w:r>
      <w:r w:rsidR="003E07F4">
        <w:t>d</w:t>
      </w:r>
      <w:r>
        <w:t xml:space="preserve"> above. </w:t>
      </w:r>
      <w:r w:rsidR="003E07F4">
        <w:t>Notably, a</w:t>
      </w:r>
      <w:r>
        <w:t xml:space="preserve"> permit to conduct research on a federal property </w:t>
      </w:r>
      <w:r w:rsidR="003E07F4">
        <w:t>does not replace the need for other relevant permits that may apply (such as state or local)</w:t>
      </w:r>
      <w:r>
        <w:rPr>
          <w:b/>
        </w:rPr>
        <w:t>.</w:t>
      </w:r>
      <w:r>
        <w:t xml:space="preserve"> </w:t>
      </w:r>
    </w:p>
    <w:p w14:paraId="736A2B1D" w14:textId="77777777" w:rsidR="004A3B9F" w:rsidRDefault="00664198">
      <w:pPr>
        <w:numPr>
          <w:ilvl w:val="0"/>
          <w:numId w:val="5"/>
        </w:numPr>
        <w:ind w:right="61" w:hanging="360"/>
      </w:pPr>
      <w:r>
        <w:rPr>
          <w:b/>
          <w:i/>
        </w:rPr>
        <w:t xml:space="preserve">Bureau of Land Management (BLM):  </w:t>
      </w:r>
      <w:r>
        <w:t xml:space="preserve">It has no specific requirement or permits for scientific research activities. </w:t>
      </w:r>
    </w:p>
    <w:p w14:paraId="4B04F32B" w14:textId="0C3E507F" w:rsidR="004A3B9F" w:rsidRDefault="00664198">
      <w:pPr>
        <w:numPr>
          <w:ilvl w:val="0"/>
          <w:numId w:val="5"/>
        </w:numPr>
        <w:ind w:right="61" w:hanging="360"/>
      </w:pPr>
      <w:r>
        <w:rPr>
          <w:b/>
          <w:i/>
        </w:rPr>
        <w:t xml:space="preserve">National Parks: </w:t>
      </w:r>
      <w:r>
        <w:t xml:space="preserve">The national Park Service (NPS) has no specific regulation pertaining to scientific research.  The NPS policy for research is found in its Administrative Guide, which pertains to all scientific research, Application Procedures and Requirements for Research and Collecting Permits and the Guidelines for Research, and the Guidelines for Study Proposals. Researchers are required to submit research proposals, which are reviewed by the NPS for scientific validity and actual or potential impact of park resources, among other things. A specimen collection permit may be issued only to an official representative </w:t>
      </w:r>
      <w:r w:rsidR="003E07F4">
        <w:t xml:space="preserve">of </w:t>
      </w:r>
      <w:r>
        <w:t xml:space="preserve">a reputable scientific or educational institution or a State or Federal agency for specific purposes described in the regulations (36 CFR 2.5). </w:t>
      </w:r>
    </w:p>
    <w:p w14:paraId="17F18760" w14:textId="77777777" w:rsidR="004A3B9F" w:rsidRDefault="00664198">
      <w:pPr>
        <w:numPr>
          <w:ilvl w:val="0"/>
          <w:numId w:val="5"/>
        </w:numPr>
        <w:ind w:right="61" w:hanging="360"/>
      </w:pPr>
      <w:r>
        <w:rPr>
          <w:b/>
          <w:i/>
        </w:rPr>
        <w:t xml:space="preserve">National Forests:  </w:t>
      </w:r>
      <w:r>
        <w:t xml:space="preserve">Forest Service laws and regulations prohibit all activities that are not expressly allowed by regulations or permit under 36 CFR 251, and 36 CFR 251.54. These regulations do not address scientific research specifically. </w:t>
      </w:r>
    </w:p>
    <w:p w14:paraId="27E31DAE" w14:textId="77777777" w:rsidR="004A3B9F" w:rsidRDefault="00664198">
      <w:pPr>
        <w:numPr>
          <w:ilvl w:val="0"/>
          <w:numId w:val="5"/>
        </w:numPr>
        <w:ind w:right="61" w:hanging="360"/>
      </w:pPr>
      <w:r>
        <w:rPr>
          <w:b/>
          <w:i/>
        </w:rPr>
        <w:t xml:space="preserve">National Wildlife Refuges: </w:t>
      </w:r>
      <w:r>
        <w:t xml:space="preserve">When a national wildlife refuge is created, it is considered closed to the public until it is expressly opened by its manager. </w:t>
      </w:r>
    </w:p>
    <w:p w14:paraId="4EF671B4" w14:textId="77777777" w:rsidR="004A3B9F" w:rsidRDefault="00664198">
      <w:pPr>
        <w:spacing w:after="0" w:line="259" w:lineRule="auto"/>
        <w:ind w:left="0" w:right="0" w:firstLine="0"/>
      </w:pPr>
      <w:r>
        <w:t xml:space="preserve"> </w:t>
      </w:r>
    </w:p>
    <w:p w14:paraId="5F74E9E5" w14:textId="77777777" w:rsidR="004A3B9F" w:rsidRDefault="00664198">
      <w:pPr>
        <w:pStyle w:val="Heading2"/>
        <w:ind w:left="115"/>
      </w:pPr>
      <w:r>
        <w:t>4.</w:t>
      </w:r>
      <w:r>
        <w:rPr>
          <w:rFonts w:ascii="Arial" w:eastAsia="Arial" w:hAnsi="Arial" w:cs="Arial"/>
        </w:rPr>
        <w:t xml:space="preserve"> </w:t>
      </w:r>
      <w:r>
        <w:t>State Law and Regulations</w:t>
      </w:r>
      <w:r>
        <w:rPr>
          <w:b w:val="0"/>
        </w:rPr>
        <w:t xml:space="preserve"> </w:t>
      </w:r>
    </w:p>
    <w:p w14:paraId="233DD86D" w14:textId="77777777" w:rsidR="004A3B9F" w:rsidRDefault="00664198">
      <w:pPr>
        <w:spacing w:after="26" w:line="238" w:lineRule="auto"/>
        <w:ind w:left="465" w:right="1" w:firstLine="0"/>
        <w:jc w:val="both"/>
      </w:pPr>
      <w:r>
        <w:t xml:space="preserve">Virtually all states regulate activities involving wildlife, including scientific research. Please consult the handbook entitled </w:t>
      </w:r>
      <w:r>
        <w:rPr>
          <w:i/>
        </w:rPr>
        <w:t xml:space="preserve">“Wildlife Laws Handbook” </w:t>
      </w:r>
      <w:r>
        <w:t xml:space="preserve">for further information. Most state regulations also require permits for research on state-owned lands. </w:t>
      </w:r>
    </w:p>
    <w:p w14:paraId="16A48619" w14:textId="77777777" w:rsidR="004A3B9F" w:rsidRDefault="00664198">
      <w:pPr>
        <w:spacing w:after="17" w:line="259" w:lineRule="auto"/>
        <w:ind w:left="0" w:right="0" w:firstLine="0"/>
      </w:pPr>
      <w:r>
        <w:rPr>
          <w:sz w:val="17"/>
        </w:rPr>
        <w:t xml:space="preserve"> </w:t>
      </w:r>
    </w:p>
    <w:p w14:paraId="40B91EE9" w14:textId="77777777" w:rsidR="004A3B9F" w:rsidRDefault="00664198">
      <w:pPr>
        <w:pStyle w:val="Heading2"/>
        <w:ind w:left="115"/>
      </w:pPr>
      <w:r>
        <w:lastRenderedPageBreak/>
        <w:t>5.</w:t>
      </w:r>
      <w:r>
        <w:rPr>
          <w:rFonts w:ascii="Arial" w:eastAsia="Arial" w:hAnsi="Arial" w:cs="Arial"/>
        </w:rPr>
        <w:t xml:space="preserve"> </w:t>
      </w:r>
      <w:r>
        <w:t>Websites for Professional Societies</w:t>
      </w:r>
      <w:r>
        <w:rPr>
          <w:b w:val="0"/>
        </w:rPr>
        <w:t xml:space="preserve"> </w:t>
      </w:r>
    </w:p>
    <w:p w14:paraId="18E3A278" w14:textId="77777777" w:rsidR="004A3B9F" w:rsidRDefault="00664198">
      <w:pPr>
        <w:spacing w:after="26" w:line="238" w:lineRule="auto"/>
        <w:ind w:left="465" w:right="852" w:firstLine="0"/>
        <w:jc w:val="both"/>
      </w:pPr>
      <w:r>
        <w:t xml:space="preserve">The following websites provide are resourceful information for wildlife/field studies Animal Behavior Society </w:t>
      </w:r>
      <w:hyperlink r:id="rId22">
        <w:r>
          <w:rPr>
            <w:color w:val="0000FF"/>
            <w:u w:val="single" w:color="0000FF"/>
          </w:rPr>
          <w:t>http://</w:t>
        </w:r>
        <w:proofErr w:type="spellStart"/>
        <w:r>
          <w:rPr>
            <w:color w:val="0000FF"/>
            <w:u w:val="single" w:color="0000FF"/>
          </w:rPr>
          <w:t>animalbehaviorsociety.org</w:t>
        </w:r>
        <w:proofErr w:type="spellEnd"/>
      </w:hyperlink>
      <w:hyperlink r:id="rId23">
        <w:r>
          <w:t xml:space="preserve"> </w:t>
        </w:r>
      </w:hyperlink>
      <w:r>
        <w:t xml:space="preserve">American Fisheries Society </w:t>
      </w:r>
      <w:hyperlink r:id="rId24">
        <w:proofErr w:type="spellStart"/>
        <w:r>
          <w:rPr>
            <w:color w:val="0000FF"/>
            <w:u w:val="single" w:color="0000FF"/>
          </w:rPr>
          <w:t>www.fisheries.org</w:t>
        </w:r>
        <w:proofErr w:type="spellEnd"/>
      </w:hyperlink>
      <w:hyperlink r:id="rId25">
        <w:r>
          <w:t>.</w:t>
        </w:r>
      </w:hyperlink>
      <w:r>
        <w:t xml:space="preserve"> </w:t>
      </w:r>
    </w:p>
    <w:p w14:paraId="6FDC968E" w14:textId="77777777" w:rsidR="004A3B9F" w:rsidRDefault="00664198">
      <w:pPr>
        <w:ind w:left="465" w:right="61" w:firstLine="0"/>
      </w:pPr>
      <w:r>
        <w:t xml:space="preserve">American Society for Ichthyologists and Herpetologists  </w:t>
      </w:r>
      <w:hyperlink r:id="rId26">
        <w:proofErr w:type="spellStart"/>
        <w:r>
          <w:rPr>
            <w:color w:val="0000FF"/>
            <w:u w:val="single" w:color="0000FF"/>
          </w:rPr>
          <w:t>www.asih.org</w:t>
        </w:r>
        <w:proofErr w:type="spellEnd"/>
      </w:hyperlink>
      <w:hyperlink r:id="rId27">
        <w:r>
          <w:rPr>
            <w:color w:val="0000FF"/>
          </w:rPr>
          <w:t xml:space="preserve"> </w:t>
        </w:r>
      </w:hyperlink>
    </w:p>
    <w:p w14:paraId="7C88B1EE" w14:textId="77777777" w:rsidR="004A3B9F" w:rsidRDefault="00664198">
      <w:pPr>
        <w:ind w:left="465" w:right="61" w:firstLine="0"/>
      </w:pPr>
      <w:r>
        <w:t>American Society of Mammologists</w:t>
      </w:r>
      <w:hyperlink r:id="rId28">
        <w:r>
          <w:t xml:space="preserve"> </w:t>
        </w:r>
      </w:hyperlink>
      <w:hyperlink r:id="rId29">
        <w:proofErr w:type="spellStart"/>
        <w:r>
          <w:rPr>
            <w:color w:val="0000FF"/>
            <w:u w:val="single" w:color="0000FF"/>
          </w:rPr>
          <w:t>www.mammalsociety.org</w:t>
        </w:r>
        <w:proofErr w:type="spellEnd"/>
      </w:hyperlink>
      <w:hyperlink r:id="rId30">
        <w:r>
          <w:t xml:space="preserve"> </w:t>
        </w:r>
      </w:hyperlink>
    </w:p>
    <w:p w14:paraId="231EEA7A" w14:textId="77777777" w:rsidR="004A3B9F" w:rsidRDefault="00664198">
      <w:pPr>
        <w:ind w:left="465" w:right="61" w:firstLine="0"/>
      </w:pPr>
      <w:r>
        <w:t xml:space="preserve">Ornithological Council  </w:t>
      </w:r>
      <w:hyperlink r:id="rId31">
        <w:proofErr w:type="spellStart"/>
        <w:r>
          <w:rPr>
            <w:color w:val="0000FF"/>
            <w:u w:val="single" w:color="0000FF"/>
          </w:rPr>
          <w:t>www.birdnet.org</w:t>
        </w:r>
        <w:proofErr w:type="spellEnd"/>
        <w:r>
          <w:rPr>
            <w:color w:val="0000FF"/>
            <w:u w:val="single" w:color="0000FF"/>
          </w:rPr>
          <w:t>/</w:t>
        </w:r>
      </w:hyperlink>
      <w:hyperlink r:id="rId32">
        <w:r>
          <w:t xml:space="preserve"> </w:t>
        </w:r>
      </w:hyperlink>
    </w:p>
    <w:p w14:paraId="74161D43" w14:textId="77777777" w:rsidR="004A3B9F" w:rsidRDefault="00664198">
      <w:pPr>
        <w:spacing w:after="0" w:line="259" w:lineRule="auto"/>
        <w:ind w:left="480" w:right="0" w:firstLine="0"/>
      </w:pPr>
      <w:r>
        <w:t xml:space="preserve"> </w:t>
      </w:r>
    </w:p>
    <w:p w14:paraId="0F6D9678" w14:textId="77777777" w:rsidR="004A3B9F" w:rsidRDefault="00664198">
      <w:pPr>
        <w:spacing w:after="0" w:line="259" w:lineRule="auto"/>
        <w:ind w:left="0" w:right="0" w:firstLine="0"/>
      </w:pPr>
      <w:r>
        <w:rPr>
          <w:sz w:val="16"/>
        </w:rPr>
        <w:t xml:space="preserve"> </w:t>
      </w:r>
    </w:p>
    <w:p w14:paraId="7A322845" w14:textId="4DA2C026" w:rsidR="004A3B9F" w:rsidRDefault="00092A73">
      <w:pPr>
        <w:pStyle w:val="Heading1"/>
        <w:ind w:left="120"/>
        <w:rPr>
          <w:b w:val="0"/>
        </w:rPr>
      </w:pPr>
      <w:r>
        <w:t>Review</w:t>
      </w:r>
      <w:r w:rsidR="00664198">
        <w:t>: June 7, 2021</w:t>
      </w:r>
      <w:r w:rsidR="00664198">
        <w:rPr>
          <w:b w:val="0"/>
        </w:rPr>
        <w:t xml:space="preserve"> </w:t>
      </w:r>
    </w:p>
    <w:p w14:paraId="0BB84C42" w14:textId="60D47D27" w:rsidR="00092A73" w:rsidRPr="00092A73" w:rsidRDefault="00092A73" w:rsidP="00092A73">
      <w:r>
        <w:rPr>
          <w:rFonts w:ascii="Times New Roman" w:eastAsia="Times New Roman" w:hAnsi="Times New Roman" w:cs="Times New Roman"/>
          <w:b/>
          <w:sz w:val="24"/>
        </w:rPr>
        <w:t>Last Review: September 2021</w:t>
      </w:r>
    </w:p>
    <w:sectPr w:rsidR="00092A73" w:rsidRPr="00092A73">
      <w:pgSz w:w="12240" w:h="15840"/>
      <w:pgMar w:top="1409" w:right="1802" w:bottom="284"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5C2"/>
    <w:multiLevelType w:val="hybridMultilevel"/>
    <w:tmpl w:val="056C3EF8"/>
    <w:lvl w:ilvl="0" w:tplc="17FC7C62">
      <w:start w:val="1"/>
      <w:numFmt w:val="bullet"/>
      <w:lvlText w:val="•"/>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F4D48E">
      <w:start w:val="1"/>
      <w:numFmt w:val="bullet"/>
      <w:lvlText w:val="•"/>
      <w:lvlJc w:val="left"/>
      <w:pPr>
        <w:ind w:left="16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FCD18A">
      <w:start w:val="1"/>
      <w:numFmt w:val="bullet"/>
      <w:lvlText w:val="▪"/>
      <w:lvlJc w:val="left"/>
      <w:pPr>
        <w:ind w:left="23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1CE13C8">
      <w:start w:val="1"/>
      <w:numFmt w:val="bullet"/>
      <w:lvlText w:val="•"/>
      <w:lvlJc w:val="left"/>
      <w:pPr>
        <w:ind w:left="30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C7ED30C">
      <w:start w:val="1"/>
      <w:numFmt w:val="bullet"/>
      <w:lvlText w:val="o"/>
      <w:lvlJc w:val="left"/>
      <w:pPr>
        <w:ind w:left="37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35025A6">
      <w:start w:val="1"/>
      <w:numFmt w:val="bullet"/>
      <w:lvlText w:val="▪"/>
      <w:lvlJc w:val="left"/>
      <w:pPr>
        <w:ind w:left="45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B3EC380">
      <w:start w:val="1"/>
      <w:numFmt w:val="bullet"/>
      <w:lvlText w:val="•"/>
      <w:lvlJc w:val="left"/>
      <w:pPr>
        <w:ind w:left="5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4198A">
      <w:start w:val="1"/>
      <w:numFmt w:val="bullet"/>
      <w:lvlText w:val="o"/>
      <w:lvlJc w:val="left"/>
      <w:pPr>
        <w:ind w:left="5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71CB308">
      <w:start w:val="1"/>
      <w:numFmt w:val="bullet"/>
      <w:lvlText w:val="▪"/>
      <w:lvlJc w:val="left"/>
      <w:pPr>
        <w:ind w:left="6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3F6AFB"/>
    <w:multiLevelType w:val="hybridMultilevel"/>
    <w:tmpl w:val="EF10C83E"/>
    <w:lvl w:ilvl="0" w:tplc="64DA937C">
      <w:start w:val="1"/>
      <w:numFmt w:val="upperLetter"/>
      <w:lvlText w:val="%1."/>
      <w:lvlJc w:val="left"/>
      <w:pPr>
        <w:ind w:left="8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594CA06">
      <w:start w:val="1"/>
      <w:numFmt w:val="lowerLetter"/>
      <w:lvlText w:val="%2"/>
      <w:lvlJc w:val="left"/>
      <w:pPr>
        <w:ind w:left="15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650F322">
      <w:start w:val="1"/>
      <w:numFmt w:val="lowerRoman"/>
      <w:lvlText w:val="%3"/>
      <w:lvlJc w:val="left"/>
      <w:pPr>
        <w:ind w:left="22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2CE57B4">
      <w:start w:val="1"/>
      <w:numFmt w:val="decimal"/>
      <w:lvlText w:val="%4"/>
      <w:lvlJc w:val="left"/>
      <w:pPr>
        <w:ind w:left="29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66A22F2">
      <w:start w:val="1"/>
      <w:numFmt w:val="lowerLetter"/>
      <w:lvlText w:val="%5"/>
      <w:lvlJc w:val="left"/>
      <w:pPr>
        <w:ind w:left="37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4E5F64">
      <w:start w:val="1"/>
      <w:numFmt w:val="lowerRoman"/>
      <w:lvlText w:val="%6"/>
      <w:lvlJc w:val="left"/>
      <w:pPr>
        <w:ind w:left="4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9981136">
      <w:start w:val="1"/>
      <w:numFmt w:val="decimal"/>
      <w:lvlText w:val="%7"/>
      <w:lvlJc w:val="left"/>
      <w:pPr>
        <w:ind w:left="51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C64157E">
      <w:start w:val="1"/>
      <w:numFmt w:val="lowerLetter"/>
      <w:lvlText w:val="%8"/>
      <w:lvlJc w:val="left"/>
      <w:pPr>
        <w:ind w:left="58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F26170C">
      <w:start w:val="1"/>
      <w:numFmt w:val="lowerRoman"/>
      <w:lvlText w:val="%9"/>
      <w:lvlJc w:val="left"/>
      <w:pPr>
        <w:ind w:left="65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66308B"/>
    <w:multiLevelType w:val="hybridMultilevel"/>
    <w:tmpl w:val="049AE028"/>
    <w:lvl w:ilvl="0" w:tplc="0132527A">
      <w:start w:val="1"/>
      <w:numFmt w:val="upperLetter"/>
      <w:lvlText w:val="%1."/>
      <w:lvlJc w:val="left"/>
      <w:pPr>
        <w:ind w:left="8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C84D846">
      <w:start w:val="1"/>
      <w:numFmt w:val="lowerLetter"/>
      <w:lvlText w:val="%2"/>
      <w:lvlJc w:val="left"/>
      <w:pPr>
        <w:ind w:left="1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BA0EAA6">
      <w:start w:val="1"/>
      <w:numFmt w:val="lowerRoman"/>
      <w:lvlText w:val="%3"/>
      <w:lvlJc w:val="left"/>
      <w:pPr>
        <w:ind w:left="22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79E4792">
      <w:start w:val="1"/>
      <w:numFmt w:val="decimal"/>
      <w:lvlText w:val="%4"/>
      <w:lvlJc w:val="left"/>
      <w:pPr>
        <w:ind w:left="29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7426C96">
      <w:start w:val="1"/>
      <w:numFmt w:val="lowerLetter"/>
      <w:lvlText w:val="%5"/>
      <w:lvlJc w:val="left"/>
      <w:pPr>
        <w:ind w:left="37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6D0890E">
      <w:start w:val="1"/>
      <w:numFmt w:val="lowerRoman"/>
      <w:lvlText w:val="%6"/>
      <w:lvlJc w:val="left"/>
      <w:pPr>
        <w:ind w:left="44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FE09CC2">
      <w:start w:val="1"/>
      <w:numFmt w:val="decimal"/>
      <w:lvlText w:val="%7"/>
      <w:lvlJc w:val="left"/>
      <w:pPr>
        <w:ind w:left="51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D18D894">
      <w:start w:val="1"/>
      <w:numFmt w:val="lowerLetter"/>
      <w:lvlText w:val="%8"/>
      <w:lvlJc w:val="left"/>
      <w:pPr>
        <w:ind w:left="58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BA66F4A">
      <w:start w:val="1"/>
      <w:numFmt w:val="lowerRoman"/>
      <w:lvlText w:val="%9"/>
      <w:lvlJc w:val="left"/>
      <w:pPr>
        <w:ind w:left="65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A2F019B"/>
    <w:multiLevelType w:val="hybridMultilevel"/>
    <w:tmpl w:val="6EB21F46"/>
    <w:lvl w:ilvl="0" w:tplc="17FC7C62">
      <w:start w:val="1"/>
      <w:numFmt w:val="bullet"/>
      <w:lvlText w:val="•"/>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51F2E"/>
    <w:multiLevelType w:val="hybridMultilevel"/>
    <w:tmpl w:val="9C9CA762"/>
    <w:lvl w:ilvl="0" w:tplc="06567EE0">
      <w:start w:val="1"/>
      <w:numFmt w:val="upperLetter"/>
      <w:lvlText w:val="%1."/>
      <w:lvlJc w:val="left"/>
      <w:pPr>
        <w:ind w:left="8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15C1BB0">
      <w:start w:val="1"/>
      <w:numFmt w:val="lowerLetter"/>
      <w:lvlText w:val="%2"/>
      <w:lvlJc w:val="left"/>
      <w:pPr>
        <w:ind w:left="15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586B174">
      <w:start w:val="1"/>
      <w:numFmt w:val="lowerRoman"/>
      <w:lvlText w:val="%3"/>
      <w:lvlJc w:val="left"/>
      <w:pPr>
        <w:ind w:left="22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69054FA">
      <w:start w:val="1"/>
      <w:numFmt w:val="decimal"/>
      <w:lvlText w:val="%4"/>
      <w:lvlJc w:val="left"/>
      <w:pPr>
        <w:ind w:left="30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329320">
      <w:start w:val="1"/>
      <w:numFmt w:val="lowerLetter"/>
      <w:lvlText w:val="%5"/>
      <w:lvlJc w:val="left"/>
      <w:pPr>
        <w:ind w:left="3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BF6260E">
      <w:start w:val="1"/>
      <w:numFmt w:val="lowerRoman"/>
      <w:lvlText w:val="%6"/>
      <w:lvlJc w:val="left"/>
      <w:pPr>
        <w:ind w:left="4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E34FD4C">
      <w:start w:val="1"/>
      <w:numFmt w:val="decimal"/>
      <w:lvlText w:val="%7"/>
      <w:lvlJc w:val="left"/>
      <w:pPr>
        <w:ind w:left="5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787BC6">
      <w:start w:val="1"/>
      <w:numFmt w:val="lowerLetter"/>
      <w:lvlText w:val="%8"/>
      <w:lvlJc w:val="left"/>
      <w:pPr>
        <w:ind w:left="5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C324F36">
      <w:start w:val="1"/>
      <w:numFmt w:val="lowerRoman"/>
      <w:lvlText w:val="%9"/>
      <w:lvlJc w:val="left"/>
      <w:pPr>
        <w:ind w:left="6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DE75433"/>
    <w:multiLevelType w:val="hybridMultilevel"/>
    <w:tmpl w:val="C8BE9590"/>
    <w:lvl w:ilvl="0" w:tplc="49966C6E">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2B908">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EA5EEE">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805BE">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0AB62">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80AE8C">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8AF76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44706">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72DDB6">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9F"/>
    <w:rsid w:val="00092A73"/>
    <w:rsid w:val="0021165A"/>
    <w:rsid w:val="003E07F4"/>
    <w:rsid w:val="0044332D"/>
    <w:rsid w:val="004A3B9F"/>
    <w:rsid w:val="004B3C0E"/>
    <w:rsid w:val="005519C8"/>
    <w:rsid w:val="00572489"/>
    <w:rsid w:val="005F3B0A"/>
    <w:rsid w:val="00664198"/>
    <w:rsid w:val="007A0E80"/>
    <w:rsid w:val="0096424C"/>
    <w:rsid w:val="009B372D"/>
    <w:rsid w:val="00A8698E"/>
    <w:rsid w:val="00B832D8"/>
    <w:rsid w:val="00CE05DF"/>
    <w:rsid w:val="00E618FD"/>
    <w:rsid w:val="00F6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C128"/>
  <w15:docId w15:val="{1AE7797E-1DBD-4554-846D-C2BDD953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49" w:lineRule="auto"/>
      <w:ind w:left="850" w:right="23" w:hanging="370"/>
    </w:pPr>
    <w:rPr>
      <w:rFonts w:ascii="Verdana" w:eastAsia="Verdana" w:hAnsi="Verdana" w:cs="Verdana"/>
      <w:color w:val="000000"/>
      <w:sz w:val="18"/>
    </w:rPr>
  </w:style>
  <w:style w:type="paragraph" w:styleId="Heading1">
    <w:name w:val="heading 1"/>
    <w:next w:val="Normal"/>
    <w:link w:val="Heading1Char"/>
    <w:uiPriority w:val="9"/>
    <w:qFormat/>
    <w:pPr>
      <w:keepNext/>
      <w:keepLines/>
      <w:spacing w:after="0"/>
      <w:ind w:left="49"/>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49" w:lineRule="auto"/>
      <w:ind w:left="130" w:hanging="10"/>
      <w:outlineLvl w:val="1"/>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Verdana" w:eastAsia="Verdana" w:hAnsi="Verdana" w:cs="Verdana"/>
      <w:b/>
      <w:color w:val="000000"/>
      <w:sz w:val="18"/>
    </w:rPr>
  </w:style>
  <w:style w:type="character" w:customStyle="1" w:styleId="pageheader">
    <w:name w:val="pageheader"/>
    <w:basedOn w:val="DefaultParagraphFont"/>
    <w:rsid w:val="004B3C0E"/>
  </w:style>
  <w:style w:type="paragraph" w:styleId="ListParagraph">
    <w:name w:val="List Paragraph"/>
    <w:basedOn w:val="Normal"/>
    <w:uiPriority w:val="34"/>
    <w:qFormat/>
    <w:rsid w:val="00CE05DF"/>
    <w:pPr>
      <w:ind w:left="720"/>
      <w:contextualSpacing/>
    </w:pPr>
  </w:style>
  <w:style w:type="character" w:styleId="CommentReference">
    <w:name w:val="annotation reference"/>
    <w:basedOn w:val="DefaultParagraphFont"/>
    <w:uiPriority w:val="99"/>
    <w:semiHidden/>
    <w:unhideWhenUsed/>
    <w:rsid w:val="00572489"/>
    <w:rPr>
      <w:sz w:val="16"/>
      <w:szCs w:val="16"/>
    </w:rPr>
  </w:style>
  <w:style w:type="paragraph" w:styleId="CommentText">
    <w:name w:val="annotation text"/>
    <w:basedOn w:val="Normal"/>
    <w:link w:val="CommentTextChar"/>
    <w:uiPriority w:val="99"/>
    <w:semiHidden/>
    <w:unhideWhenUsed/>
    <w:rsid w:val="00572489"/>
    <w:pPr>
      <w:spacing w:line="240" w:lineRule="auto"/>
    </w:pPr>
    <w:rPr>
      <w:sz w:val="20"/>
      <w:szCs w:val="20"/>
    </w:rPr>
  </w:style>
  <w:style w:type="character" w:customStyle="1" w:styleId="CommentTextChar">
    <w:name w:val="Comment Text Char"/>
    <w:basedOn w:val="DefaultParagraphFont"/>
    <w:link w:val="CommentText"/>
    <w:uiPriority w:val="99"/>
    <w:semiHidden/>
    <w:rsid w:val="00572489"/>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572489"/>
    <w:rPr>
      <w:b/>
      <w:bCs/>
    </w:rPr>
  </w:style>
  <w:style w:type="character" w:customStyle="1" w:styleId="CommentSubjectChar">
    <w:name w:val="Comment Subject Char"/>
    <w:basedOn w:val="CommentTextChar"/>
    <w:link w:val="CommentSubject"/>
    <w:uiPriority w:val="99"/>
    <w:semiHidden/>
    <w:rsid w:val="00572489"/>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tes.org/" TargetMode="External"/><Relationship Id="rId13" Type="http://schemas.openxmlformats.org/officeDocument/2006/relationships/hyperlink" Target="http://www.nmfs.noaa.gov/pr/laws/mmpa" TargetMode="External"/><Relationship Id="rId18" Type="http://schemas.openxmlformats.org/officeDocument/2006/relationships/hyperlink" Target="http://www.fws.gov/migratorybirds/RegulationsPolicies/mbta/mbtintro.html" TargetMode="External"/><Relationship Id="rId26" Type="http://schemas.openxmlformats.org/officeDocument/2006/relationships/hyperlink" Target="http://www.asih.org/" TargetMode="External"/><Relationship Id="rId3" Type="http://schemas.openxmlformats.org/officeDocument/2006/relationships/settings" Target="settings.xml"/><Relationship Id="rId21" Type="http://schemas.openxmlformats.org/officeDocument/2006/relationships/hyperlink" Target="http://www.internationalparrotletsociety.org/wbca.html" TargetMode="External"/><Relationship Id="rId34" Type="http://schemas.openxmlformats.org/officeDocument/2006/relationships/theme" Target="theme/theme1.xml"/><Relationship Id="rId7" Type="http://schemas.openxmlformats.org/officeDocument/2006/relationships/hyperlink" Target="http://www.cites.org/" TargetMode="External"/><Relationship Id="rId12" Type="http://schemas.openxmlformats.org/officeDocument/2006/relationships/hyperlink" Target="http://www.fws.gov/laws/lawsdigest/esact.html" TargetMode="External"/><Relationship Id="rId17" Type="http://schemas.openxmlformats.org/officeDocument/2006/relationships/hyperlink" Target="http://www.fws.gov/migratorybirds/RegulationsPolicies/mbta/mbtintro.html" TargetMode="External"/><Relationship Id="rId25" Type="http://schemas.openxmlformats.org/officeDocument/2006/relationships/hyperlink" Target="http://www.fisherie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ws.gov/migratorybirds/RegulationsPolicies/mbta/mbtintro.html" TargetMode="External"/><Relationship Id="rId20" Type="http://schemas.openxmlformats.org/officeDocument/2006/relationships/hyperlink" Target="http://www.internationalparrotletsociety.org/wbca.html" TargetMode="External"/><Relationship Id="rId29" Type="http://schemas.openxmlformats.org/officeDocument/2006/relationships/hyperlink" Target="http://www.mammalsociety.org/" TargetMode="External"/><Relationship Id="rId1" Type="http://schemas.openxmlformats.org/officeDocument/2006/relationships/numbering" Target="numbering.xml"/><Relationship Id="rId6" Type="http://schemas.openxmlformats.org/officeDocument/2006/relationships/hyperlink" Target="http://www.avma.org/reference/default.asp" TargetMode="External"/><Relationship Id="rId11" Type="http://schemas.openxmlformats.org/officeDocument/2006/relationships/hyperlink" Target="http://www.fws.gov/laws/lawsdigest/esact.html" TargetMode="External"/><Relationship Id="rId24" Type="http://schemas.openxmlformats.org/officeDocument/2006/relationships/hyperlink" Target="http://www.fisheries.org/" TargetMode="External"/><Relationship Id="rId32" Type="http://schemas.openxmlformats.org/officeDocument/2006/relationships/hyperlink" Target="http://www.birdnet.org/" TargetMode="External"/><Relationship Id="rId5" Type="http://schemas.openxmlformats.org/officeDocument/2006/relationships/hyperlink" Target="http://www.avma.org/reference/default.asp" TargetMode="External"/><Relationship Id="rId15" Type="http://schemas.openxmlformats.org/officeDocument/2006/relationships/hyperlink" Target="http://www.nmfs.noaa.gov/pr/laws/mmpa" TargetMode="External"/><Relationship Id="rId23" Type="http://schemas.openxmlformats.org/officeDocument/2006/relationships/hyperlink" Target="http://animalbehaviorsociety.org/" TargetMode="External"/><Relationship Id="rId28" Type="http://schemas.openxmlformats.org/officeDocument/2006/relationships/hyperlink" Target="http://www.mammalsociety.org/" TargetMode="External"/><Relationship Id="rId10" Type="http://schemas.openxmlformats.org/officeDocument/2006/relationships/hyperlink" Target="http://www.fws.gov/laws/lawsdigest/esact.html" TargetMode="External"/><Relationship Id="rId19" Type="http://schemas.openxmlformats.org/officeDocument/2006/relationships/hyperlink" Target="http://www.internationalparrotletsociety.org/wbca.html" TargetMode="External"/><Relationship Id="rId31" Type="http://schemas.openxmlformats.org/officeDocument/2006/relationships/hyperlink" Target="http://www.birdnet.org/" TargetMode="External"/><Relationship Id="rId4" Type="http://schemas.openxmlformats.org/officeDocument/2006/relationships/webSettings" Target="webSettings.xml"/><Relationship Id="rId9" Type="http://schemas.openxmlformats.org/officeDocument/2006/relationships/hyperlink" Target="http://www.fws.gov/laws/lawsdigest/esact.html" TargetMode="External"/><Relationship Id="rId14" Type="http://schemas.openxmlformats.org/officeDocument/2006/relationships/hyperlink" Target="http://www.nmfs.noaa.gov/pr/laws/mmpa" TargetMode="External"/><Relationship Id="rId22" Type="http://schemas.openxmlformats.org/officeDocument/2006/relationships/hyperlink" Target="http://animalbehaviorsociety.org/" TargetMode="External"/><Relationship Id="rId27" Type="http://schemas.openxmlformats.org/officeDocument/2006/relationships/hyperlink" Target="http://www.asih.org/" TargetMode="External"/><Relationship Id="rId30" Type="http://schemas.openxmlformats.org/officeDocument/2006/relationships/hyperlink" Target="http://www.mamm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Drexel University College of Medicine Animal Care and Use Committee Policy For Animal Enrichment</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University College of Medicine Animal Care and Use Committee Policy For Animal Enrichment</dc:title>
  <dc:subject/>
  <dc:creator>amccurry</dc:creator>
  <cp:keywords/>
  <cp:lastModifiedBy>Reneski,Carolyn</cp:lastModifiedBy>
  <cp:revision>2</cp:revision>
  <dcterms:created xsi:type="dcterms:W3CDTF">2021-10-01T16:59:00Z</dcterms:created>
  <dcterms:modified xsi:type="dcterms:W3CDTF">2021-10-01T16:59:00Z</dcterms:modified>
</cp:coreProperties>
</file>